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Batería de Reserva Externa MiniUPS 5V = 160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11m.jpg" id="1" name="image02.jpg"/>
            <a:graphic>
              <a:graphicData uri="http://schemas.openxmlformats.org/drawingml/2006/picture">
                <pic:pic>
                  <pic:nvPicPr>
                    <pic:cNvPr descr="111m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hh3qnwn91sjn" w:id="0"/>
      <w:bookmarkEnd w:id="0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ESPECIFICACIONES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5V Mini-UPS se utiliza para el sensor de huellas dactilares de 5V</w:t>
      </w:r>
    </w:p>
    <w:p w:rsidR="00000000" w:rsidDel="00000000" w:rsidP="00000000" w:rsidRDefault="00000000" w:rsidRPr="00000000">
      <w:pPr>
        <w:spacing w:after="120" w:before="120" w:line="381.1764705882353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Entrada: DC5V ~ 2A 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Salida: DC5V ~ 0,8A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0"/>
          <w:szCs w:val="20"/>
          <w:highlight w:val="white"/>
          <w:rtl w:val="0"/>
        </w:rPr>
        <w:t xml:space="preserve">  Tiempo de carga: ≥ 6 H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  Tiempo de descarga: 4 h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18"/>
          <w:szCs w:val="18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Indicador de luz: La luz roja se enciende cuando se encuentra en proceso de carga, y la luz verde se enciende cuando la carga ha completado.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Humedad relativa: 45% -75%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  Entorno de almacenamiento: 35 º C ~ 55 ℃ (menos de 15 días), 15 º C ~ 25 ℃ (no más de 3 meses)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18"/>
          <w:szCs w:val="18"/>
          <w:highlight w:val="whit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18"/>
          <w:szCs w:val="18"/>
          <w:highlight w:val="white"/>
          <w:rtl w:val="0"/>
        </w:rPr>
        <w:t xml:space="preserve">  Ciclo de edad: Los tiempos de ciclo de carga y descarga ≥ 300 veces (uso de la batería termina si la capacidad de descarga es inferior al 80% de la capacidad Puntuación de tres veces de formacontinua.)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Batería de Reserva Externa MiniUPS 12V = 170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11m.jpg" id="2" name="image03.jpg"/>
            <a:graphic>
              <a:graphicData uri="http://schemas.openxmlformats.org/drawingml/2006/picture">
                <pic:pic>
                  <pic:nvPicPr>
                    <pic:cNvPr descr="111m.jpg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dcjfhtcadiwy" w:id="1"/>
      <w:bookmarkEnd w:id="1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ESPECIFICACIONES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12V Mini-UPS se utiliza para el sensor de huellas dactilares de 5V.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Entrada: DC12V ~ 1.5A </w:t>
      </w:r>
    </w:p>
    <w:p w:rsidR="00000000" w:rsidDel="00000000" w:rsidP="00000000" w:rsidRDefault="00000000" w:rsidRPr="00000000">
      <w:pPr>
        <w:spacing w:after="120" w:before="12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Salida: DC7V ~ 8.4V / 1A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0"/>
          <w:szCs w:val="20"/>
          <w:highlight w:val="white"/>
          <w:rtl w:val="0"/>
        </w:rPr>
        <w:t xml:space="preserve">Tiempo de carga: ≥ 3 H </w:t>
      </w:r>
    </w:p>
    <w:p w:rsidR="00000000" w:rsidDel="00000000" w:rsidP="00000000" w:rsidRDefault="00000000" w:rsidRPr="00000000">
      <w:pPr>
        <w:spacing w:after="120" w:before="120" w:line="324.000000000000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Tiempo de descarga: 4 h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Indicador de luz: La luz roja se enciende cuando se encuentra en proceso de carga, y la luz verde se enciende cuando la carga ha completado.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Humedad relativa: 45% -75%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Entorno de almacenamiento: 35 º C ~ 55 ℃ (menos de 15 días), 15 º C ~ 25 ℃ (no más de 3 meses)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0"/>
          <w:szCs w:val="20"/>
          <w:highlight w:val="white"/>
          <w:rtl w:val="0"/>
        </w:rPr>
        <w:t xml:space="preserve">  Ciclo de edad: Los tiempos de ciclo de carga y la descarga ≥ 300 veces (uso de la batería termina si la capacidad de descarga es inferior al 80% de la capacidad Puntuación tres veces de forma continua.)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572125" cy="4819650"/>
            <wp:effectExtent b="0" l="0" r="0" t="0"/>
            <wp:docPr descr="miniups control.png" id="4" name="image07.png"/>
            <a:graphic>
              <a:graphicData uri="http://schemas.openxmlformats.org/drawingml/2006/picture">
                <pic:pic>
                  <pic:nvPicPr>
                    <pic:cNvPr descr="miniups control.png" id="0" name="image0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81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after="80" w:before="80" w:line="308.5714285714286" w:lineRule="auto"/>
        <w:ind w:left="0" w:firstLine="0"/>
        <w:contextualSpacing w:val="0"/>
      </w:pPr>
      <w:bookmarkStart w:colFirst="0" w:colLast="0" w:name="h.gtxdg3eho45g" w:id="2"/>
      <w:bookmarkEnd w:id="2"/>
      <w:r w:rsidDel="00000000" w:rsidR="00000000" w:rsidRPr="00000000">
        <w:rPr>
          <w:rFonts w:ascii="Verdana" w:cs="Verdana" w:eastAsia="Verdana" w:hAnsi="Verdana"/>
          <w:color w:val="374853"/>
          <w:sz w:val="36"/>
          <w:szCs w:val="36"/>
          <w:highlight w:val="white"/>
          <w:rtl w:val="0"/>
        </w:rPr>
        <w:t xml:space="preserve">BATERIA INTERNA 12V = 180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4381500"/>
            <wp:effectExtent b="0" l="0" r="0" t="0"/>
            <wp:docPr descr="1111nnn.png" id="3" name="image05.png"/>
            <a:graphic>
              <a:graphicData uri="http://schemas.openxmlformats.org/drawingml/2006/picture">
                <pic:pic>
                  <pic:nvPicPr>
                    <pic:cNvPr descr="1111nnn.png" id="0" name="image0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8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image" Target="media/image07.png"/><Relationship Id="rId7" Type="http://schemas.openxmlformats.org/officeDocument/2006/relationships/image" Target="media/image05.png"/></Relationships>
</file>